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8D7BD" w14:textId="77777777" w:rsidR="00E0748F" w:rsidRDefault="00E0748F" w:rsidP="00E0748F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Експертний  висновок</w:t>
      </w:r>
    </w:p>
    <w:p w14:paraId="07DDDF17" w14:textId="6CE80515" w:rsidR="00E0748F" w:rsidRPr="00E0748F" w:rsidRDefault="00E0748F" w:rsidP="00E0748F">
      <w:pPr>
        <w:shd w:val="clear" w:color="auto" w:fill="FFFFFF"/>
        <w:spacing w:after="0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впливу </w:t>
      </w:r>
      <w:proofErr w:type="spellStart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рішення </w:t>
      </w:r>
      <w:proofErr w:type="spellStart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селищної ради "Про затвердження Положення про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орядок спорудження (створення) пам’ятників (монументів) та пам’ятних знаків, меморіальних та інформаційних </w:t>
      </w:r>
      <w:proofErr w:type="spellStart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дощок</w:t>
      </w:r>
      <w:proofErr w:type="spellEnd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E074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на території </w:t>
      </w:r>
      <w:proofErr w:type="spellStart"/>
      <w:r w:rsidRPr="00E0748F">
        <w:rPr>
          <w:rFonts w:ascii="Times New Roman" w:hAnsi="Times New Roman" w:cs="Times New Roman"/>
          <w:b/>
          <w:bCs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селищної ради»</w:t>
      </w:r>
    </w:p>
    <w:p w14:paraId="0F87F3B9" w14:textId="70E0F0AC" w:rsidR="00E0748F" w:rsidRPr="00E0748F" w:rsidRDefault="00E0748F" w:rsidP="00E074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вул. Незалежності,41 смт. Нові Санжари Полтавська обл</w:t>
      </w:r>
      <w:r w:rsidR="007624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асть </w:t>
      </w: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39300</w:t>
      </w:r>
    </w:p>
    <w:p w14:paraId="07DCF08A" w14:textId="4F1935D1" w:rsidR="00E0748F" w:rsidRDefault="00E0748F" w:rsidP="006743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A5E059" w14:textId="30E3836B" w:rsidR="00E0748F" w:rsidRPr="00E0748F" w:rsidRDefault="00E0748F" w:rsidP="00E0748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Постійною депутатською комісією з питань </w:t>
      </w:r>
      <w:r w:rsidR="007E4C1B">
        <w:rPr>
          <w:rFonts w:ascii="Times New Roman" w:hAnsi="Times New Roman" w:cs="Times New Roman"/>
          <w:sz w:val="28"/>
          <w:szCs w:val="28"/>
          <w:lang w:val="uk-UA"/>
        </w:rPr>
        <w:t xml:space="preserve">житлово-комунального господарства, благоустрою, торгового і побутового обслуговування 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Законів України "Про місцеве самоврядування в Україні", "Про засади державної регуляторної політики у сфері господарської діяльності" було розглянуто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20B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акту -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20B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Положення про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дощок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04C87E5F" w14:textId="0EC5246E" w:rsidR="00E0748F" w:rsidRDefault="00E0748F" w:rsidP="00E0748F">
      <w:pPr>
        <w:shd w:val="clear" w:color="auto" w:fill="FFFFFF"/>
        <w:spacing w:after="0"/>
        <w:ind w:left="-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Згідно аналізу регуляторного впливу до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20B9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«</w:t>
      </w:r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дощок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ради»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визначено наступне:</w:t>
      </w:r>
    </w:p>
    <w:p w14:paraId="40A3F53A" w14:textId="77777777" w:rsidR="00762424" w:rsidRDefault="00762424" w:rsidP="00E0748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AD441" w14:textId="6188791C" w:rsidR="00E0748F" w:rsidRPr="00E0748F" w:rsidRDefault="00E0748F" w:rsidP="00E0748F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Відповідність </w:t>
      </w:r>
      <w:proofErr w:type="spellStart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E826C6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E0748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принципам державної регуляторної політики, встановлених статтею 4 Закону України "Про засади державної регуляторної політики у сфері господарської діяльності".</w:t>
      </w:r>
    </w:p>
    <w:p w14:paraId="08B0CF85" w14:textId="03435038" w:rsidR="00FE6E38" w:rsidRDefault="00E0748F" w:rsidP="00FE6E38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При підготовці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витримана послідовність регуляторної діяльності: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826C6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відповідає цілям державної регуляторної політики, а також його включено до Плану діяльності з підготовки</w:t>
      </w:r>
      <w:r w:rsidR="00E826C6"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затвердження 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E826C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ктів регуляторних актів </w:t>
      </w:r>
      <w:proofErr w:type="spellStart"/>
      <w:r w:rsidR="00E826C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E826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на 2019 рік (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E826C6" w:rsidRPr="00E826C6">
        <w:rPr>
          <w:rFonts w:ascii="Times New Roman" w:hAnsi="Times New Roman" w:cs="Times New Roman"/>
          <w:sz w:val="28"/>
          <w:szCs w:val="28"/>
          <w:lang w:val="uk-UA"/>
        </w:rPr>
        <w:t>двадцять другої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сесії  </w:t>
      </w:r>
      <w:proofErr w:type="spellStart"/>
      <w:r w:rsidRPr="00E826C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сьомого скликання № 1</w:t>
      </w:r>
      <w:r w:rsidR="00E826C6" w:rsidRPr="00E826C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E826C6" w:rsidRPr="00E826C6">
        <w:rPr>
          <w:rFonts w:ascii="Times New Roman" w:hAnsi="Times New Roman" w:cs="Times New Roman"/>
          <w:sz w:val="28"/>
          <w:szCs w:val="28"/>
          <w:lang w:val="uk-UA"/>
        </w:rPr>
        <w:t>26.06.2019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року  "Про</w:t>
      </w:r>
      <w:r w:rsidR="00E826C6"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внесення змін до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Плану діяльності з підготовки та затвердження про</w:t>
      </w:r>
      <w:r w:rsidR="00E826C6" w:rsidRPr="00E826C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ктів регуляторних актів </w:t>
      </w:r>
      <w:proofErr w:type="spellStart"/>
      <w:r w:rsidRPr="00E826C6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E826C6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на 2019 рік"), 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проведені роботи з регуляторної процедури.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ab/>
        <w:t xml:space="preserve">Розміщено повідомлення про оприлюднення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та безпосередньо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з аналізом його регуляторного впливу </w:t>
      </w:r>
      <w:r w:rsidR="00FE6E3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дощок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ради»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0748F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 мережі інтернет </w:t>
      </w:r>
      <w:proofErr w:type="spellStart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</w:rPr>
        <w:t>www</w:t>
      </w:r>
      <w:proofErr w:type="spellEnd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</w:rPr>
        <w:t>novsan</w:t>
      </w:r>
      <w:proofErr w:type="spellEnd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  <w:lang w:val="uk-UA"/>
        </w:rPr>
        <w:t>-</w:t>
      </w:r>
      <w:proofErr w:type="spellStart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</w:rPr>
        <w:t>rada</w:t>
      </w:r>
      <w:proofErr w:type="spellEnd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</w:rPr>
        <w:t>gov</w:t>
      </w:r>
      <w:proofErr w:type="spellEnd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  <w:lang w:val="uk-UA"/>
        </w:rPr>
        <w:t>.</w:t>
      </w:r>
      <w:proofErr w:type="spellStart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</w:rPr>
        <w:t>ua</w:t>
      </w:r>
      <w:proofErr w:type="spellEnd"/>
      <w:r w:rsidRPr="00E0748F">
        <w:rPr>
          <w:rFonts w:ascii="Times New Roman" w:hAnsi="Times New Roman" w:cs="Times New Roman"/>
          <w:color w:val="53533A"/>
          <w:sz w:val="28"/>
          <w:szCs w:val="28"/>
          <w:shd w:val="clear" w:color="auto" w:fill="EDEDE2"/>
          <w:lang w:val="uk-UA"/>
        </w:rPr>
        <w:t>.</w:t>
      </w:r>
      <w:r w:rsidRPr="00E0748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E3203FE" w14:textId="58CDD587" w:rsidR="00FE6E38" w:rsidRDefault="00E0748F" w:rsidP="00FE6E38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6E38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proofErr w:type="spellStart"/>
      <w:r w:rsidRPr="00FE6E3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FE6E38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FE6E38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Pr="00FE6E38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FE6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E38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FE6E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6E38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спорудження (створення) пам’ятників (монументів) та пам’ятних знаків, меморіальних та інформаційних </w:t>
      </w:r>
      <w:proofErr w:type="spellStart"/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дощок</w:t>
      </w:r>
      <w:proofErr w:type="spellEnd"/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</w:t>
      </w:r>
      <w:r w:rsidR="00FE6E38" w:rsidRPr="00E0748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>ради»</w:t>
      </w:r>
      <w:r w:rsidRPr="00FE6E38">
        <w:rPr>
          <w:rFonts w:ascii="Times New Roman" w:hAnsi="Times New Roman" w:cs="Times New Roman"/>
          <w:sz w:val="28"/>
          <w:szCs w:val="28"/>
          <w:lang w:val="uk-UA"/>
        </w:rPr>
        <w:t xml:space="preserve"> з аналізом регуляторного впливу відповідає усім принципам державної регуляторної політики, які встановлено статтею 4 Закону України " Про засади державної регуляторної політики у сфері господарської діяльності", а саме: доцільність, адекватність, ефективність, збалансованість, передбачуваність, відкритість, прозорість та врахування громадської думки.</w:t>
      </w:r>
    </w:p>
    <w:p w14:paraId="4F9D7DBB" w14:textId="77777777" w:rsidR="00762424" w:rsidRDefault="00762424" w:rsidP="004F17C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6DC0DD" w14:textId="3279C609" w:rsidR="004F17C5" w:rsidRPr="004F17C5" w:rsidRDefault="00E0748F" w:rsidP="004F17C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Відповідність </w:t>
      </w:r>
      <w:proofErr w:type="spellStart"/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b/>
          <w:sz w:val="28"/>
          <w:szCs w:val="28"/>
          <w:lang w:val="uk-UA"/>
        </w:rPr>
        <w:t>є</w:t>
      </w:r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>кту</w:t>
      </w:r>
      <w:proofErr w:type="spellEnd"/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регуляторного </w:t>
      </w:r>
      <w:proofErr w:type="spellStart"/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>акта</w:t>
      </w:r>
      <w:proofErr w:type="spellEnd"/>
      <w:r w:rsidRPr="004F17C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вимогам статті 8 Закону України "Про засади державної регуляторної політики у сфері господарської діяльності" щодо підготовки аналізу регуляторного впливу.</w:t>
      </w:r>
    </w:p>
    <w:p w14:paraId="3CC9CEA7" w14:textId="7D535940" w:rsidR="004F17C5" w:rsidRDefault="00E0748F" w:rsidP="004F17C5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F17C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"Про місцеве самоврядування в Україні", </w:t>
      </w:r>
      <w:r w:rsidR="00C529E2" w:rsidRPr="004F17C5">
        <w:rPr>
          <w:rFonts w:ascii="Times New Roman" w:hAnsi="Times New Roman" w:cs="Times New Roman"/>
          <w:sz w:val="28"/>
          <w:szCs w:val="28"/>
          <w:lang w:val="uk-UA"/>
        </w:rPr>
        <w:t xml:space="preserve">наказу Державного комітету України з будівництва та архітектури Міністерства культури і мистецтв України від 30.11.2004р. №231/806  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« Про затвердження Порядку спорудження (створення) пам’ятників і монументів»</w:t>
      </w:r>
      <w:r w:rsidRPr="004F17C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529E2" w:rsidRPr="004F17C5">
        <w:rPr>
          <w:rFonts w:ascii="Times New Roman" w:hAnsi="Times New Roman" w:cs="Times New Roman"/>
          <w:sz w:val="28"/>
          <w:szCs w:val="28"/>
          <w:lang w:val="uk-UA"/>
        </w:rPr>
        <w:t xml:space="preserve"> рішення про спорудження (створення) пам’ятників (монументів) </w:t>
      </w:r>
      <w:r w:rsidR="004F17C5" w:rsidRPr="004F17C5">
        <w:rPr>
          <w:rFonts w:ascii="Times New Roman" w:hAnsi="Times New Roman" w:cs="Times New Roman"/>
          <w:sz w:val="28"/>
          <w:szCs w:val="28"/>
          <w:lang w:val="uk-UA"/>
        </w:rPr>
        <w:t>приймається органами місцевого самоврядування.</w:t>
      </w:r>
    </w:p>
    <w:p w14:paraId="63597751" w14:textId="0193F0E1" w:rsidR="00985F9B" w:rsidRDefault="00E0748F" w:rsidP="00985F9B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F9B">
        <w:rPr>
          <w:rFonts w:ascii="Times New Roman" w:hAnsi="Times New Roman" w:cs="Times New Roman"/>
          <w:sz w:val="28"/>
          <w:szCs w:val="28"/>
          <w:lang w:val="uk-UA"/>
        </w:rPr>
        <w:t>Прийняття рішення з даного питання необхідне для створення чіткого механізму</w:t>
      </w:r>
      <w:r w:rsidR="00985F9B"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 спорудження (створення) пам’ятників (монументів)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. Через те, що </w:t>
      </w:r>
      <w:r w:rsidR="00985F9B" w:rsidRPr="00985F9B">
        <w:rPr>
          <w:rFonts w:ascii="Times New Roman" w:hAnsi="Times New Roman" w:cs="Times New Roman"/>
          <w:sz w:val="28"/>
          <w:szCs w:val="28"/>
          <w:lang w:val="uk-UA"/>
        </w:rPr>
        <w:t>вир</w:t>
      </w:r>
      <w:r w:rsidR="00985F9B">
        <w:rPr>
          <w:rFonts w:ascii="Times New Roman" w:hAnsi="Times New Roman" w:cs="Times New Roman"/>
          <w:sz w:val="28"/>
          <w:szCs w:val="28"/>
          <w:lang w:val="uk-UA"/>
        </w:rPr>
        <w:t>іш</w:t>
      </w:r>
      <w:r w:rsidR="00985F9B"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ення питання 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F9B" w:rsidRPr="00985F9B">
        <w:rPr>
          <w:rFonts w:ascii="Times New Roman" w:hAnsi="Times New Roman" w:cs="Times New Roman"/>
          <w:sz w:val="28"/>
          <w:szCs w:val="28"/>
          <w:lang w:val="uk-UA"/>
        </w:rPr>
        <w:t>спорудження (створення) пам’ятників (монументів)</w:t>
      </w:r>
      <w:r w:rsidR="00985F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>покладено саме на органи місцевого самоврядування, єдина альтернатива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 така як неприйняття регуляторного акту, призведе до</w:t>
      </w:r>
      <w:r w:rsidR="00985F9B">
        <w:rPr>
          <w:rFonts w:ascii="Times New Roman" w:hAnsi="Times New Roman" w:cs="Times New Roman"/>
          <w:sz w:val="28"/>
          <w:szCs w:val="28"/>
          <w:lang w:val="uk-UA"/>
        </w:rPr>
        <w:t xml:space="preserve"> невизначеності у вказаних відносинах  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 та є неприйнятною.</w:t>
      </w:r>
    </w:p>
    <w:p w14:paraId="7DAD3F01" w14:textId="77777777" w:rsidR="006E7FC2" w:rsidRDefault="00E0748F" w:rsidP="006E7FC2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Прийнятий регуляторний акт впровадить </w:t>
      </w:r>
      <w:r w:rsidR="006E7FC2">
        <w:rPr>
          <w:rFonts w:ascii="Times New Roman" w:hAnsi="Times New Roman" w:cs="Times New Roman"/>
          <w:sz w:val="28"/>
          <w:szCs w:val="28"/>
          <w:lang w:val="uk-UA"/>
        </w:rPr>
        <w:t>єдиний порядок спорудження (створення) пам’ятників (монументів)</w:t>
      </w:r>
      <w:r w:rsidRPr="00985F9B">
        <w:rPr>
          <w:rFonts w:ascii="Times New Roman" w:hAnsi="Times New Roman" w:cs="Times New Roman"/>
          <w:sz w:val="28"/>
          <w:szCs w:val="28"/>
          <w:lang w:val="uk-UA"/>
        </w:rPr>
        <w:t xml:space="preserve"> на місцевому рівні</w:t>
      </w:r>
      <w:r w:rsidR="006E7F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E1D554" w14:textId="238C8856" w:rsidR="00762424" w:rsidRDefault="00E0748F" w:rsidP="0076242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Аналізом регуляторного впливу визначено та проаналізовано проблему, яку пропонується розв’язати шляхом регулювання господарських відносин, а також оцінено важливість цієї проблеми,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обгрунтовано</w:t>
      </w:r>
      <w:proofErr w:type="spellEnd"/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чому визначена проблема не може бути розв’язана за допомогою </w:t>
      </w:r>
      <w:r w:rsidR="006E7FC2">
        <w:rPr>
          <w:rFonts w:ascii="Times New Roman" w:hAnsi="Times New Roman" w:cs="Times New Roman"/>
          <w:sz w:val="28"/>
          <w:szCs w:val="28"/>
          <w:lang w:val="uk-UA"/>
        </w:rPr>
        <w:t>діючих нормативно-правових актів</w:t>
      </w: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і потребує адміністративного регулювання. Визначено очікувані результати прийняття запропонованого регуляторного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6E7FC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Оцінено усі прийнятні способи досягнення встановлених цілей, аргументовано переваги обраного способу досягнення встановлених цілей. Описано механізм і заходи, які забезпечать розв’язання визначеної проблеми шляхом прийняття запропонованого регуляторного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та обґрунтовано можливість досягнення встановлених цілей у разі прийняття запропонованого регуляторного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, та доведено, що досягнення запропонованим регуляторним актом встановлених цілей є можливим з найменшими витратами, а вигоди, які виникатимуть внаслідок дії запропонованого регуляторного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Pr="006E7FC2">
        <w:rPr>
          <w:rFonts w:ascii="Times New Roman" w:hAnsi="Times New Roman" w:cs="Times New Roman"/>
          <w:sz w:val="28"/>
          <w:szCs w:val="28"/>
          <w:lang w:val="uk-UA"/>
        </w:rPr>
        <w:t>, виправдовують відповідні витрати у випадку, якщо витрати та /або вигоди не можуть бути кількісно визначені.</w:t>
      </w:r>
    </w:p>
    <w:p w14:paraId="091F93E8" w14:textId="77777777" w:rsidR="00F149B3" w:rsidRDefault="00F149B3" w:rsidP="0076242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B7E3945" w14:textId="6377E1D5" w:rsidR="00762424" w:rsidRDefault="00762424" w:rsidP="00762424">
      <w:pPr>
        <w:shd w:val="clear" w:color="auto" w:fill="FFFFFF"/>
        <w:spacing w:after="0"/>
        <w:ind w:left="-567" w:firstLine="567"/>
        <w:jc w:val="both"/>
        <w:rPr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0748F" w:rsidRPr="006E7FC2">
        <w:rPr>
          <w:rFonts w:ascii="Times New Roman" w:hAnsi="Times New Roman" w:cs="Times New Roman"/>
          <w:b/>
          <w:sz w:val="28"/>
          <w:szCs w:val="28"/>
          <w:lang w:val="uk-UA"/>
        </w:rPr>
        <w:t>3. Узагальнений висновок</w:t>
      </w:r>
      <w:r w:rsidR="00E0748F">
        <w:rPr>
          <w:sz w:val="28"/>
          <w:szCs w:val="28"/>
          <w:lang w:val="uk-UA"/>
        </w:rPr>
        <w:tab/>
      </w:r>
    </w:p>
    <w:p w14:paraId="5313DB5F" w14:textId="618AD51C" w:rsidR="00E0748F" w:rsidRPr="006E7FC2" w:rsidRDefault="00E0748F" w:rsidP="00762424">
      <w:pPr>
        <w:shd w:val="clear" w:color="auto" w:fill="FFFFFF"/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проведену експертизу, регуляторний акт - </w:t>
      </w:r>
      <w:proofErr w:type="spellStart"/>
      <w:r w:rsidRPr="006E7FC2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E7FC2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селищної ради 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Положення про порядок спорудження </w:t>
      </w:r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lastRenderedPageBreak/>
        <w:t xml:space="preserve">(створення) пам’ятників (монументів) та пам’ятних знаків, меморіальних та інформаційних </w:t>
      </w:r>
      <w:proofErr w:type="spellStart"/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дощок</w:t>
      </w:r>
      <w:proofErr w:type="spellEnd"/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 території </w:t>
      </w:r>
      <w:proofErr w:type="spellStart"/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t>Новосанжарської</w:t>
      </w:r>
      <w:proofErr w:type="spellEnd"/>
      <w:r w:rsidR="006E7FC2" w:rsidRPr="00E0748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селищної ради</w:t>
      </w:r>
      <w:r w:rsidR="007624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та аналіз його регуляторного впливу відповідають вимогам статей 4 та 8 Закону України "Про засади державної регуляторної політики у сфері господарської діяльності".</w:t>
      </w:r>
    </w:p>
    <w:p w14:paraId="3BD39E02" w14:textId="77777777" w:rsidR="00E0748F" w:rsidRDefault="00E0748F" w:rsidP="00E0748F">
      <w:pPr>
        <w:jc w:val="both"/>
        <w:rPr>
          <w:sz w:val="28"/>
          <w:szCs w:val="28"/>
          <w:lang w:val="uk-UA"/>
        </w:rPr>
      </w:pPr>
    </w:p>
    <w:p w14:paraId="40618C0B" w14:textId="77777777" w:rsidR="00E0748F" w:rsidRDefault="00E0748F" w:rsidP="00E0748F">
      <w:pPr>
        <w:jc w:val="both"/>
        <w:rPr>
          <w:sz w:val="28"/>
          <w:szCs w:val="28"/>
          <w:lang w:val="uk-UA"/>
        </w:rPr>
      </w:pPr>
    </w:p>
    <w:p w14:paraId="79464940" w14:textId="77777777" w:rsidR="00E0748F" w:rsidRPr="006E7FC2" w:rsidRDefault="00E0748F" w:rsidP="006E7F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Голова постійної депутатської комісії </w:t>
      </w:r>
    </w:p>
    <w:p w14:paraId="36FD1454" w14:textId="1283B790" w:rsidR="006E7FC2" w:rsidRPr="006E7FC2" w:rsidRDefault="00E0748F" w:rsidP="006E7F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з питань </w:t>
      </w:r>
      <w:r w:rsidR="007E4C1B">
        <w:rPr>
          <w:rFonts w:ascii="Times New Roman" w:hAnsi="Times New Roman" w:cs="Times New Roman"/>
          <w:sz w:val="28"/>
          <w:szCs w:val="28"/>
          <w:lang w:val="uk-UA"/>
        </w:rPr>
        <w:t>житлово-комунального господарства</w:t>
      </w:r>
      <w:r w:rsidR="006E7FC2"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14:paraId="27CD5720" w14:textId="0DC0B6F4" w:rsidR="006E7FC2" w:rsidRPr="006E7FC2" w:rsidRDefault="007E4C1B" w:rsidP="006E7FC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благоустрою, торгового і побутового обслуговування</w:t>
      </w:r>
      <w:r w:rsidR="006E7FC2" w:rsidRPr="006E7F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C3C3E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В.І.Яценко</w:t>
      </w:r>
      <w:proofErr w:type="spellEnd"/>
    </w:p>
    <w:p w14:paraId="153269B2" w14:textId="4A0D922D" w:rsidR="00E0748F" w:rsidRDefault="00E0748F" w:rsidP="006743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5ADB140" w14:textId="77777777" w:rsidR="00E0748F" w:rsidRDefault="00E0748F" w:rsidP="00674387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0748F" w:rsidSect="00F149B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9093A"/>
    <w:multiLevelType w:val="hybridMultilevel"/>
    <w:tmpl w:val="F4DE8C10"/>
    <w:lvl w:ilvl="0" w:tplc="D4F44E08"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1BB"/>
    <w:rsid w:val="0002043D"/>
    <w:rsid w:val="00087FB7"/>
    <w:rsid w:val="000D51E7"/>
    <w:rsid w:val="00103F11"/>
    <w:rsid w:val="00120F8F"/>
    <w:rsid w:val="001E7CF2"/>
    <w:rsid w:val="002215B7"/>
    <w:rsid w:val="00221F89"/>
    <w:rsid w:val="002261BB"/>
    <w:rsid w:val="002D57FE"/>
    <w:rsid w:val="002E4F9C"/>
    <w:rsid w:val="003A2A79"/>
    <w:rsid w:val="00443F73"/>
    <w:rsid w:val="004F17C5"/>
    <w:rsid w:val="00674387"/>
    <w:rsid w:val="006E7FC2"/>
    <w:rsid w:val="0073229C"/>
    <w:rsid w:val="00762424"/>
    <w:rsid w:val="00762BCF"/>
    <w:rsid w:val="00782108"/>
    <w:rsid w:val="007B67DD"/>
    <w:rsid w:val="007E4C1B"/>
    <w:rsid w:val="00820B98"/>
    <w:rsid w:val="008C3C3E"/>
    <w:rsid w:val="008E44F2"/>
    <w:rsid w:val="00985F9B"/>
    <w:rsid w:val="00A5679F"/>
    <w:rsid w:val="00AA7831"/>
    <w:rsid w:val="00AF79B7"/>
    <w:rsid w:val="00B866E5"/>
    <w:rsid w:val="00BE10D3"/>
    <w:rsid w:val="00C529E2"/>
    <w:rsid w:val="00D0203F"/>
    <w:rsid w:val="00E0748F"/>
    <w:rsid w:val="00E1464F"/>
    <w:rsid w:val="00E14A2C"/>
    <w:rsid w:val="00E34255"/>
    <w:rsid w:val="00E35559"/>
    <w:rsid w:val="00E7339E"/>
    <w:rsid w:val="00E826C6"/>
    <w:rsid w:val="00F149B3"/>
    <w:rsid w:val="00F53E58"/>
    <w:rsid w:val="00F8431A"/>
    <w:rsid w:val="00FE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22EDB"/>
  <w15:chartTrackingRefBased/>
  <w15:docId w15:val="{028AD6D2-81FB-46BC-BA42-ABC40205C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79F"/>
    <w:pPr>
      <w:ind w:left="720"/>
      <w:contextualSpacing/>
    </w:pPr>
  </w:style>
  <w:style w:type="paragraph" w:customStyle="1" w:styleId="12">
    <w:name w:val="Обычный +12 пт"/>
    <w:aliases w:val="Черный"/>
    <w:basedOn w:val="a"/>
    <w:rsid w:val="00E1464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5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3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Новосанжарська ОТГ</dc:creator>
  <cp:keywords/>
  <dc:description/>
  <cp:lastModifiedBy>Новосанжарська ОТГ</cp:lastModifiedBy>
  <cp:revision>20</cp:revision>
  <cp:lastPrinted>2019-08-08T10:29:00Z</cp:lastPrinted>
  <dcterms:created xsi:type="dcterms:W3CDTF">2019-07-25T08:35:00Z</dcterms:created>
  <dcterms:modified xsi:type="dcterms:W3CDTF">2019-08-08T10:32:00Z</dcterms:modified>
</cp:coreProperties>
</file>