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74E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r>
              <w:t>Наказ / розпорядчий документ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ind w:left="60"/>
              <w:jc w:val="center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r>
              <w:t>09.08.2021 р. № 189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pPr>
              <w:jc w:val="center"/>
            </w:pPr>
            <w:r>
              <w:rPr>
                <w:b/>
              </w:rPr>
              <w:t>0217130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pPr>
              <w:jc w:val="center"/>
            </w:pPr>
            <w:r>
              <w:t>7130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pPr>
              <w:jc w:val="center"/>
            </w:pPr>
            <w:r>
              <w:t xml:space="preserve">  0421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  <w:jc w:val="both"/>
            </w:pPr>
            <w:r>
              <w:t>Здійснення  заходів із землеустрою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4EC5" w:rsidRDefault="00BA6C3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480000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430000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r>
              <w:t>Крнституція України, Бюджетний кодекс України, рішення восьмої сесії восьмого скликання від 31.03.2021 року №8 "Про внесення змін до рішення третьої позачергової сесії восьмого скликання від 24.грудня 2020 року "Про бюджет Новосанжарської селищної територі</w:t>
            </w:r>
            <w:r>
              <w:t xml:space="preserve">альної громади на 2021 рік", рішення девятої сесії восьмого скликання від 31.05.2021 року №8 "Про внесення змін до рішення третьої позачергової сесії восьмого скликання від 24.грудня 2020 року "Про бюджет Новосанжарської селищної територіальної громади на </w:t>
            </w:r>
            <w:r>
              <w:t xml:space="preserve">2021 рік", рішення одинадцятої позачергової сесії Новосанжарської селищної ради восьмого скликання від 05.08.2021 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забезпечення розвитку земельного господарства селищної територіальної громади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74EC5" w:rsidRDefault="00BA6C3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r>
              <w:t>Забезпечення сталого розвитку земельного господарства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256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32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4EC5" w:rsidRDefault="00674EC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5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4EC5" w:rsidRDefault="00BA6C31">
            <w:pPr>
              <w:ind w:left="60"/>
            </w:pPr>
            <w:r>
              <w:t>Проведення інвентаризації земель та розробка проектів землеустрою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5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Проведення інвентаризації земель та розробка проектів землеустрою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430 000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480 000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rPr>
                <w:b/>
              </w:rPr>
              <w:t>430 000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rPr>
                <w:b/>
              </w:rPr>
              <w:t>480 000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5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Програма регульвання та розвитку земельних відносин на території Новосанжарської селищної територіальної громади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430 000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480 000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rPr>
                <w:b/>
              </w:rPr>
              <w:t>430 000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rPr>
                <w:b/>
              </w:rPr>
              <w:t>480 000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4EC5" w:rsidRDefault="00BA6C3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4EC5" w:rsidRDefault="00BA6C3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обсяг видатків на проведення інвентаризації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430 000,00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480 000,00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кількість земель, що потребують інвентаризації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тис.га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4EC5" w:rsidRDefault="00BA6C3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4EC5" w:rsidRDefault="00BA6C3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кількість земель, на яких планується провести інвентаризацію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тис.га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4EC5" w:rsidRDefault="00BA6C3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4EC5" w:rsidRDefault="00BA6C31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середні видатки на 1 га, який планується проінвентаризувати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2 150,00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2 400,00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4EC5" w:rsidRDefault="00BA6C3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4EC5" w:rsidRDefault="00BA6C3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674EC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відсоток проінвентаризованих земель до тих, які необхідно проінвентаризувати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4EC5" w:rsidRDefault="00674EC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r>
              <w:t>Геннадій СУПРУН</w:t>
            </w: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EC5" w:rsidRDefault="00BA6C31">
            <w:r>
              <w:t>Людмила ГОРОБЕЦЬ</w:t>
            </w: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4EC5" w:rsidRDefault="00BA6C31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  <w:tr w:rsidR="00674E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EC5" w:rsidRDefault="00BA6C3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4EC5" w:rsidRDefault="00674EC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74EC5" w:rsidRDefault="00674EC5">
            <w:pPr>
              <w:pStyle w:val="EMPTYCELLSTYLE"/>
            </w:pPr>
          </w:p>
        </w:tc>
        <w:tc>
          <w:tcPr>
            <w:tcW w:w="1800" w:type="dxa"/>
          </w:tcPr>
          <w:p w:rsidR="00674EC5" w:rsidRDefault="00674EC5">
            <w:pPr>
              <w:pStyle w:val="EMPTYCELLSTYLE"/>
            </w:pPr>
          </w:p>
        </w:tc>
        <w:tc>
          <w:tcPr>
            <w:tcW w:w="400" w:type="dxa"/>
          </w:tcPr>
          <w:p w:rsidR="00674EC5" w:rsidRDefault="00674EC5">
            <w:pPr>
              <w:pStyle w:val="EMPTYCELLSTYLE"/>
            </w:pPr>
          </w:p>
        </w:tc>
      </w:tr>
    </w:tbl>
    <w:p w:rsidR="00BA6C31" w:rsidRDefault="00BA6C31"/>
    <w:sectPr w:rsidR="00BA6C3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5"/>
    <w:rsid w:val="00674EC5"/>
    <w:rsid w:val="00A232D5"/>
    <w:rsid w:val="00BA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AC406-A1A6-404C-BCB4-21539DCA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2021-08-25T13:16:00Z</dcterms:created>
  <dcterms:modified xsi:type="dcterms:W3CDTF">2021-08-25T13:16:00Z</dcterms:modified>
</cp:coreProperties>
</file>