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355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35532" w:rsidRDefault="00A355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35532" w:rsidRDefault="00A3553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35532" w:rsidRDefault="00A3553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t>Наказ / розпорядчий документ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ind w:left="60"/>
              <w:jc w:val="center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r>
              <w:t>18.02.2022 р. № 61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32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35532" w:rsidRDefault="00A355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rPr>
                <w:b/>
              </w:rPr>
              <w:t>0213160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  <w:jc w:val="both"/>
            </w:pPr>
            <w: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35532" w:rsidRDefault="00ED236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87400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87400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t>Конституція України, Бюджетний кодекс України, Закон України "Про основи соціальної захищеності інвалідів в Україні", Постанова КМУ "Про виплату грошової компенсації фізичним особам, які надають соціальні послуги громадянам похилого віку, особам з інвалідн</w:t>
            </w:r>
            <w:r>
              <w:t>істю, дітям з інвалідністю, хворим, які не здатні до самообслуговування і потребують сторонньої допомоги", рішення  сімнадцятої сесії восьмого скликання Новосанжарської селищної ради від 24 грудня 2021 року "Про бюджет Новосанжарської селищної територіальн</w:t>
            </w:r>
            <w:r>
              <w:t>ої громади на 2022 рік", рішення вісімнадцятоїсусії восьмого скликання Новосанжарської селищної ради від 15 лютого 2022 року.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Забезпечення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сторонньої допомоги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5532" w:rsidRDefault="00A3553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5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35532" w:rsidRDefault="00ED236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t>Забезпечення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</w:t>
            </w:r>
            <w:r>
              <w:t xml:space="preserve"> допомоги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5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32" w:rsidRDefault="00ED236F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5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87 400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87 400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rPr>
                <w:b/>
              </w:rPr>
              <w:t>87 400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rPr>
                <w:b/>
              </w:rPr>
              <w:t>87 400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5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Програма соціального захисту осіб з особливими потребами,ветеранів,пенсіонерів усіх рівнів,учасників бойових дій та добровольців при проведенні антитерористичної операції та/або Операції обєднаних сил та соціального забезпечення жителів Новосанжарської сел</w:t>
            </w:r>
            <w:r>
              <w:t>ищної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87 400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87 400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rPr>
                <w:b/>
              </w:rPr>
              <w:t>87 400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rPr>
                <w:b/>
              </w:rPr>
              <w:t>87 400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32" w:rsidRDefault="00ED236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32" w:rsidRDefault="00ED236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кількість осіб, які звернулись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кількість фізичних осіб, яким виплачується компенсація за надання соціальних послуг з 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кількість фізичних осіб, яким виплачується компенсація за надання соціальних послуг, осіб, з них особи з інвалідністю I групи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 xml:space="preserve">кількість фізичних осіб, яким виплачується компенсація за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5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35532" w:rsidRDefault="00A3553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надання соціальних послуг, осіб, з них громадяни похилого віку</w:t>
            </w: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32" w:rsidRDefault="00ED236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32" w:rsidRDefault="00ED236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A355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питома вага кількості призначених компенсацій до кількості звернень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t>Геннадій СУПРУН</w:t>
            </w: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532" w:rsidRDefault="00ED236F">
            <w:r>
              <w:t>Людмила ГОРОБЕЦЬ</w:t>
            </w: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32" w:rsidRDefault="00ED236F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  <w:tr w:rsidR="00A355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532" w:rsidRDefault="00ED236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1800" w:type="dxa"/>
          </w:tcPr>
          <w:p w:rsidR="00A35532" w:rsidRDefault="00A35532">
            <w:pPr>
              <w:pStyle w:val="EMPTYCELLSTYLE"/>
            </w:pPr>
          </w:p>
        </w:tc>
        <w:tc>
          <w:tcPr>
            <w:tcW w:w="400" w:type="dxa"/>
          </w:tcPr>
          <w:p w:rsidR="00A35532" w:rsidRDefault="00A35532">
            <w:pPr>
              <w:pStyle w:val="EMPTYCELLSTYLE"/>
            </w:pPr>
          </w:p>
        </w:tc>
      </w:tr>
    </w:tbl>
    <w:p w:rsidR="00ED236F" w:rsidRDefault="00ED236F"/>
    <w:sectPr w:rsidR="00ED236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32"/>
    <w:rsid w:val="00264591"/>
    <w:rsid w:val="00A35532"/>
    <w:rsid w:val="00E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C86B2-3E67-44AB-9329-27B098E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2022-03-14T09:03:00Z</dcterms:created>
  <dcterms:modified xsi:type="dcterms:W3CDTF">2022-03-14T09:03:00Z</dcterms:modified>
</cp:coreProperties>
</file>